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F" w:rsidRPr="00644E2A" w:rsidRDefault="007B60CF" w:rsidP="007B60C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/>
          <w:bCs/>
          <w:i/>
          <w:iCs/>
          <w:sz w:val="16"/>
          <w:szCs w:val="16"/>
        </w:rPr>
        <w:t>REGLAMENTO  DE ACTIVIDADES NO COGNOSCITIVAS</w:t>
      </w:r>
    </w:p>
    <w:p w:rsidR="007B60CF" w:rsidRPr="00644E2A" w:rsidRDefault="007B60CF" w:rsidP="007B60CF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numPr>
          <w:ilvl w:val="1"/>
          <w:numId w:val="2"/>
        </w:numPr>
        <w:tabs>
          <w:tab w:val="clear" w:pos="1800"/>
          <w:tab w:val="clear" w:pos="4419"/>
          <w:tab w:val="clear" w:pos="8838"/>
          <w:tab w:val="num" w:pos="360"/>
        </w:tabs>
        <w:ind w:left="36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BASE LEGAL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tabs>
          <w:tab w:val="clear" w:pos="4419"/>
          <w:tab w:val="clear" w:pos="8838"/>
          <w:tab w:val="num" w:pos="0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R.R. N° 1491-CR-96 del 29 de febrero de 1996, con la cual se aprueba el Plan de Estudios 1996.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  <w:tab w:val="num" w:pos="0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R.R. N° 01539-CR-99 del 18 de marzo de 1999, con la cual se aprueba el Plan de Estudios 1999 y las equivalencias.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  <w:tab w:val="num" w:pos="0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R.R. N° 07386-CR-99 del 16 de noviembre de 1999, con la cual se aprueba la modificación de la denominación de créditos de las Activ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i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dades No Cognoscitivas por puntos, para adecuarse al Sistema Ünico de Matrícula (SUM).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  <w:tab w:val="num" w:pos="0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numPr>
          <w:ilvl w:val="1"/>
          <w:numId w:val="2"/>
        </w:numPr>
        <w:tabs>
          <w:tab w:val="clear" w:pos="1800"/>
          <w:tab w:val="clear" w:pos="4419"/>
          <w:tab w:val="clear" w:pos="8838"/>
          <w:tab w:val="num" w:pos="360"/>
        </w:tabs>
        <w:ind w:left="36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DEFINICIONES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numPr>
          <w:ilvl w:val="1"/>
          <w:numId w:val="1"/>
        </w:numPr>
        <w:tabs>
          <w:tab w:val="clear" w:pos="1440"/>
          <w:tab w:val="clear" w:pos="4419"/>
          <w:tab w:val="clear" w:pos="8838"/>
          <w:tab w:val="num" w:pos="360"/>
        </w:tabs>
        <w:ind w:left="54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Se define como actividad no cognoscitiva o para-académica a aquella que complementa la formación que se brinda al alumno m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e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diante las asignaturas obligatorias y electivas del Plan de Estudios, y que contribuyen a su formación profesional integral y es r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e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quisito para la obtención del Grado Académico de Bachiller.</w:t>
      </w:r>
    </w:p>
    <w:p w:rsidR="007B60CF" w:rsidRPr="00644E2A" w:rsidRDefault="007B60CF" w:rsidP="007B60CF">
      <w:pPr>
        <w:pStyle w:val="Encabezado"/>
        <w:numPr>
          <w:ilvl w:val="1"/>
          <w:numId w:val="1"/>
        </w:numPr>
        <w:tabs>
          <w:tab w:val="clear" w:pos="1440"/>
          <w:tab w:val="clear" w:pos="4419"/>
          <w:tab w:val="clear" w:pos="8838"/>
          <w:tab w:val="num" w:pos="360"/>
        </w:tabs>
        <w:ind w:left="54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El Plan de Estudios de Ingeniería Industrial de </w:t>
      </w:r>
      <w:smartTag w:uri="urn:schemas-microsoft-com:office:smarttags" w:element="PersonName">
        <w:smartTagPr>
          <w:attr w:name="ProductID" w:val="la UNMSM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UNMSM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exige la acumulación de por lo menos 10 puntos para-académicos, los que deben efectuarse durante el período de estudios, en los siguientes campos: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  <w:tab w:val="num" w:pos="360"/>
        </w:tabs>
        <w:ind w:left="54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2.1 ACADEMICO.- Participación en ceremonias  académicas o institucionales, sustentaciones de tesis, conversatorios, seminarios, conferencias, congresos, etc.</w:t>
      </w:r>
    </w:p>
    <w:p w:rsidR="007B60CF" w:rsidRPr="00644E2A" w:rsidRDefault="007B60CF" w:rsidP="007B60CF">
      <w:pPr>
        <w:pStyle w:val="Encabezado"/>
        <w:numPr>
          <w:ilvl w:val="2"/>
          <w:numId w:val="1"/>
        </w:numPr>
        <w:tabs>
          <w:tab w:val="clear" w:pos="2340"/>
          <w:tab w:val="clear" w:pos="4419"/>
          <w:tab w:val="clear" w:pos="8838"/>
          <w:tab w:val="num" w:pos="900"/>
        </w:tabs>
        <w:ind w:left="90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CEREMONIAS ACADEMICAS.- Comprende la participación en ceremonias tales como: inicio o clausura del año académico, recepción a ingresantes, graduaciones, ceremonias relacionadas con el aniversario de la universidad o facultad, distinción o reconocimiento a profesores o autoridades, presentación de libros, etc.</w:t>
      </w:r>
    </w:p>
    <w:p w:rsidR="007B60CF" w:rsidRPr="00644E2A" w:rsidRDefault="007B60CF" w:rsidP="007B60CF">
      <w:pPr>
        <w:pStyle w:val="Encabezado"/>
        <w:numPr>
          <w:ilvl w:val="2"/>
          <w:numId w:val="1"/>
        </w:numPr>
        <w:tabs>
          <w:tab w:val="clear" w:pos="2340"/>
          <w:tab w:val="clear" w:pos="4419"/>
          <w:tab w:val="clear" w:pos="8838"/>
          <w:tab w:val="num" w:pos="900"/>
        </w:tabs>
        <w:ind w:left="90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ASISTENCIA A SUSTENTACIONES.- Comprende la participación en sus tentaciones de tesis de pre y post grado, así como eventos similares tales como exposiciones de trabajos monográficos, por recomendación del profesor o clase modelo de postulantes a plazas docentes o ayudantías.</w:t>
      </w:r>
    </w:p>
    <w:p w:rsidR="007B60CF" w:rsidRPr="00644E2A" w:rsidRDefault="007B60CF" w:rsidP="007B60CF">
      <w:pPr>
        <w:pStyle w:val="Encabezado"/>
        <w:numPr>
          <w:ilvl w:val="2"/>
          <w:numId w:val="1"/>
        </w:numPr>
        <w:tabs>
          <w:tab w:val="clear" w:pos="2340"/>
          <w:tab w:val="clear" w:pos="4419"/>
          <w:tab w:val="clear" w:pos="8838"/>
          <w:tab w:val="num" w:pos="900"/>
        </w:tabs>
        <w:ind w:left="90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SEMINARIOS, CONGRESOS, CONFERENCIAS, ETC.- Comprende la participación en este tipo de actividades académ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i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cas.</w:t>
      </w:r>
    </w:p>
    <w:p w:rsidR="007B60CF" w:rsidRPr="00644E2A" w:rsidRDefault="007B60CF" w:rsidP="007B60CF">
      <w:pPr>
        <w:pStyle w:val="Encabezado"/>
        <w:numPr>
          <w:ilvl w:val="2"/>
          <w:numId w:val="1"/>
        </w:numPr>
        <w:tabs>
          <w:tab w:val="clear" w:pos="2340"/>
          <w:tab w:val="clear" w:pos="4419"/>
          <w:tab w:val="clear" w:pos="8838"/>
          <w:tab w:val="num" w:pos="900"/>
        </w:tabs>
        <w:ind w:left="90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Cursos complementarios, extra facultativos.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</w:tabs>
        <w:ind w:left="54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2.2 INVESTIGACIÓN.- Todas las labores y trabajos desarrollados en programas de investigación promovidos por profesores de curso, departamentos académicos y por el instituto de investigación.</w:t>
      </w:r>
    </w:p>
    <w:p w:rsidR="007B60CF" w:rsidRPr="00644E2A" w:rsidRDefault="007B60CF" w:rsidP="007B60CF">
      <w:pPr>
        <w:pStyle w:val="Encabezado"/>
        <w:numPr>
          <w:ilvl w:val="1"/>
          <w:numId w:val="4"/>
        </w:numPr>
        <w:tabs>
          <w:tab w:val="clear" w:pos="4419"/>
          <w:tab w:val="clear" w:pos="8838"/>
          <w:tab w:val="left" w:pos="540"/>
        </w:tabs>
        <w:ind w:left="54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PROYECCIÖN SOCIAL.- Labores que se realicen en forma de actividades cívicas y de asistencias social técnica.</w:t>
      </w:r>
    </w:p>
    <w:p w:rsidR="007B60CF" w:rsidRPr="00644E2A" w:rsidRDefault="007B60CF" w:rsidP="007B60CF">
      <w:pPr>
        <w:pStyle w:val="Encabezado"/>
        <w:numPr>
          <w:ilvl w:val="1"/>
          <w:numId w:val="4"/>
        </w:numPr>
        <w:tabs>
          <w:tab w:val="clear" w:pos="2340"/>
          <w:tab w:val="clear" w:pos="4419"/>
          <w:tab w:val="clear" w:pos="8838"/>
          <w:tab w:val="num" w:pos="540"/>
        </w:tabs>
        <w:ind w:left="54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DOCENCIA.- Labores realizadas en forma de servicio docente: Ayudantía de cursos, seminarios de problemas, asesoría a alu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m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nos, docencia en cursos de extensión y campañas de orientación profesional en colegios.</w:t>
      </w:r>
    </w:p>
    <w:p w:rsidR="007B60CF" w:rsidRPr="00644E2A" w:rsidRDefault="007B60CF" w:rsidP="007B60CF">
      <w:pPr>
        <w:pStyle w:val="Encabezado"/>
        <w:numPr>
          <w:ilvl w:val="1"/>
          <w:numId w:val="4"/>
        </w:numPr>
        <w:tabs>
          <w:tab w:val="clear" w:pos="2340"/>
          <w:tab w:val="clear" w:pos="4419"/>
          <w:tab w:val="clear" w:pos="8838"/>
          <w:tab w:val="num" w:pos="540"/>
        </w:tabs>
        <w:ind w:left="54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EVENTOS CULTURALES Y DEPORTIVOS.- Comprende la participación y la colaboración u organización de este tipo de eve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n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tos.</w:t>
      </w:r>
    </w:p>
    <w:p w:rsidR="007B60CF" w:rsidRPr="00644E2A" w:rsidRDefault="007B60CF" w:rsidP="007B60CF">
      <w:pPr>
        <w:pStyle w:val="Encabezado"/>
        <w:tabs>
          <w:tab w:val="clear" w:pos="4419"/>
          <w:tab w:val="clear" w:pos="8838"/>
        </w:tabs>
        <w:ind w:left="360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numPr>
          <w:ilvl w:val="1"/>
          <w:numId w:val="2"/>
        </w:numPr>
        <w:tabs>
          <w:tab w:val="clear" w:pos="1800"/>
          <w:tab w:val="clear" w:pos="4419"/>
          <w:tab w:val="clear" w:pos="8838"/>
          <w:tab w:val="num" w:pos="360"/>
        </w:tabs>
        <w:ind w:left="360" w:hanging="360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VALOR EN PUNTOS      </w:t>
      </w:r>
    </w:p>
    <w:tbl>
      <w:tblPr>
        <w:tblW w:w="7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294"/>
        <w:gridCol w:w="2880"/>
        <w:gridCol w:w="1285"/>
        <w:gridCol w:w="1260"/>
      </w:tblGrid>
      <w:tr w:rsidR="007B60CF" w:rsidRPr="00644E2A" w:rsidTr="00DB604C">
        <w:trPr>
          <w:trHeight w:val="830"/>
        </w:trPr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pStyle w:val="Ttulo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E2A">
              <w:rPr>
                <w:rFonts w:ascii="Arial" w:hAnsi="Arial" w:cs="Arial"/>
                <w:i/>
                <w:iCs/>
                <w:sz w:val="16"/>
                <w:szCs w:val="16"/>
              </w:rPr>
              <w:t>Modificado con RESOLUCIÓN RECTORAL N 03276-R-02</w:t>
            </w:r>
          </w:p>
          <w:p w:rsidR="007B60CF" w:rsidRPr="00644E2A" w:rsidRDefault="007B60CF" w:rsidP="00DB604C">
            <w:pPr>
              <w:contextualSpacing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44E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CODIGO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44E2A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44E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CLASE DE ACTIVIDAD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44E2A">
              <w:rPr>
                <w:rFonts w:ascii="Arial" w:hAnsi="Arial" w:cs="Arial"/>
                <w:b/>
                <w:bCs/>
                <w:sz w:val="16"/>
                <w:szCs w:val="16"/>
              </w:rPr>
              <w:t>CONDICON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44E2A">
              <w:rPr>
                <w:rFonts w:ascii="Arial" w:hAnsi="Arial" w:cs="Arial"/>
                <w:b/>
                <w:bCs/>
                <w:sz w:val="16"/>
                <w:szCs w:val="16"/>
              </w:rPr>
              <w:t>PUNTAJE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CEREMONIAS ACADEMICAS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CEREMONIAS ACADEMICAS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CEREMONIAS ACADEMICAS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CEREMONIAS ACADEMICAS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ASISTENCIAA SUSTENTACIONES DE TESIS DE PRE-GRADO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ASISTENCIAA SUSTENTACIONES DE TESIS DE POST-GRADO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ASISTENCIAA SUSTENTACIONES DE TESIS ;OTRAS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0.10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INTERNOS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INTERNOS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0.75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INTERNOS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INTERNOS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pto/evento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SEMINARIOS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pStyle w:val="xl27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644E2A">
              <w:rPr>
                <w:rFonts w:ascii="Arial" w:eastAsia="Times New Roman" w:hAnsi="Arial" w:cs="Arial"/>
                <w:b w:val="0"/>
                <w:bCs w:val="0"/>
              </w:rPr>
              <w:t>SEMINARIOS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SEMINARIOS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SEMINARIOS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SEMINARIOS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4.00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lastRenderedPageBreak/>
              <w:t>A.22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CONGRESOS INTERNACIONALES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3.00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CONFERENCIAS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CONFERENCIAS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CONFERENCIAS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CONFERENCIAS INTERNOS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INTERNACIONALES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INTERNACIONALES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INTERNACIONALES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CONFERENCIAS INTERNACIONALES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EXPOSITOR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3.00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CURSOS DE ESPECIALIZACION RELACIONADOS CON LA CARRERA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0.20 pto/hora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A.45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ACADEMICO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COLABORADOR DE ACTIVIDADES TRABAJO DE CAMPO Y TOMA DE DATOS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TRABAJOS MONOGRAFICOS DE UN CURSO CON RECOMENDACIÓN DE PUBLIC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pto/c/u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TRABAJOS MONOGRAFICOS PR</w:t>
            </w:r>
            <w:r w:rsidRPr="00644E2A">
              <w:rPr>
                <w:rFonts w:ascii="Arial" w:hAnsi="Arial" w:cs="Arial"/>
                <w:sz w:val="16"/>
                <w:szCs w:val="16"/>
              </w:rPr>
              <w:t>E</w:t>
            </w:r>
            <w:r w:rsidRPr="00644E2A">
              <w:rPr>
                <w:rFonts w:ascii="Arial" w:hAnsi="Arial" w:cs="Arial"/>
                <w:sz w:val="16"/>
                <w:szCs w:val="16"/>
              </w:rPr>
              <w:t>SENTADO A CONCURSO INTERNO Y/O EXT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pto/c/u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TRABAJOS MONOGRAFICOS GAN</w:t>
            </w:r>
            <w:r w:rsidRPr="00644E2A">
              <w:rPr>
                <w:rFonts w:ascii="Arial" w:hAnsi="Arial" w:cs="Arial"/>
                <w:sz w:val="16"/>
                <w:szCs w:val="16"/>
              </w:rPr>
              <w:t>A</w:t>
            </w:r>
            <w:r w:rsidRPr="00644E2A">
              <w:rPr>
                <w:rFonts w:ascii="Arial" w:hAnsi="Arial" w:cs="Arial"/>
                <w:sz w:val="16"/>
                <w:szCs w:val="16"/>
              </w:rPr>
              <w:t xml:space="preserve">DOR EN CONCURSOS INTERNOS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pto/c/u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TRABAJOS MONOGRAFICOS GAN</w:t>
            </w:r>
            <w:r w:rsidRPr="00644E2A">
              <w:rPr>
                <w:rFonts w:ascii="Arial" w:hAnsi="Arial" w:cs="Arial"/>
                <w:sz w:val="16"/>
                <w:szCs w:val="16"/>
              </w:rPr>
              <w:t>A</w:t>
            </w:r>
            <w:r w:rsidRPr="00644E2A">
              <w:rPr>
                <w:rFonts w:ascii="Arial" w:hAnsi="Arial" w:cs="Arial"/>
                <w:sz w:val="16"/>
                <w:szCs w:val="16"/>
              </w:rPr>
              <w:t>DOR EN CONCURSOS EXTERNOS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4.00 pto/c/u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TRABAJOS MONOGRAFICOS OTROS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pto/c/u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 CON ACTIVIDADES TRABAJO DE CAMPO Y TOMA DE DATOS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 CON ACTIVIDADES ANALISIS Y PROCESAMIENTO DE DATOS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2.50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 CON ACTIVIDADES REDACCION Y/O REVISION DE I</w:t>
            </w:r>
            <w:r w:rsidRPr="00644E2A">
              <w:rPr>
                <w:rFonts w:ascii="Arial" w:hAnsi="Arial" w:cs="Arial"/>
                <w:sz w:val="16"/>
                <w:szCs w:val="16"/>
              </w:rPr>
              <w:t>N</w:t>
            </w:r>
            <w:r w:rsidRPr="00644E2A">
              <w:rPr>
                <w:rFonts w:ascii="Arial" w:hAnsi="Arial" w:cs="Arial"/>
                <w:sz w:val="16"/>
                <w:szCs w:val="16"/>
              </w:rPr>
              <w:t>FOR.FINAL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2.50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PUBLICACIONES ARTICULOS TE</w:t>
            </w:r>
            <w:r w:rsidRPr="00644E2A">
              <w:rPr>
                <w:rFonts w:ascii="Arial" w:hAnsi="Arial" w:cs="Arial"/>
                <w:sz w:val="16"/>
                <w:szCs w:val="16"/>
              </w:rPr>
              <w:t>C</w:t>
            </w:r>
            <w:r w:rsidRPr="00644E2A">
              <w:rPr>
                <w:rFonts w:ascii="Arial" w:hAnsi="Arial" w:cs="Arial"/>
                <w:sz w:val="16"/>
                <w:szCs w:val="16"/>
              </w:rPr>
              <w:t>NICOS EN REVISTA ESTUDIANTIL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PUBLICACIONES ARTICULOS TECNICOS EN REVISTA DE LA FACU</w:t>
            </w:r>
            <w:r w:rsidRPr="00644E2A">
              <w:rPr>
                <w:rFonts w:ascii="Arial" w:hAnsi="Arial" w:cs="Arial"/>
                <w:sz w:val="16"/>
                <w:szCs w:val="16"/>
              </w:rPr>
              <w:t>L</w:t>
            </w:r>
            <w:r w:rsidRPr="00644E2A">
              <w:rPr>
                <w:rFonts w:ascii="Arial" w:hAnsi="Arial" w:cs="Arial"/>
                <w:sz w:val="16"/>
                <w:szCs w:val="16"/>
              </w:rPr>
              <w:t>TAD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PUBLICACIONES ARTICULOS EN REVISTAS ESPECIALIZADOS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2.50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PUBLICACIONES SEPARATAS DE PROBLEMAS, RESUMEN DE CU</w:t>
            </w:r>
            <w:r w:rsidRPr="00644E2A">
              <w:rPr>
                <w:rFonts w:ascii="Arial" w:hAnsi="Arial" w:cs="Arial"/>
                <w:sz w:val="16"/>
                <w:szCs w:val="16"/>
              </w:rPr>
              <w:t>R</w:t>
            </w:r>
            <w:r w:rsidRPr="00644E2A">
              <w:rPr>
                <w:rFonts w:ascii="Arial" w:hAnsi="Arial" w:cs="Arial"/>
                <w:sz w:val="16"/>
                <w:szCs w:val="16"/>
              </w:rPr>
              <w:t>SOS U OTRO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pto/separatas</w:t>
            </w:r>
          </w:p>
        </w:tc>
      </w:tr>
      <w:tr w:rsidR="007B60CF" w:rsidRPr="00644E2A" w:rsidTr="00DB604C">
        <w:trPr>
          <w:trHeight w:val="3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B.13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INVESTIGACION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OTRAS ACTIVIDADES BUSQU</w:t>
            </w:r>
            <w:r w:rsidRPr="00644E2A">
              <w:rPr>
                <w:rFonts w:ascii="Arial" w:hAnsi="Arial" w:cs="Arial"/>
                <w:sz w:val="16"/>
                <w:szCs w:val="16"/>
              </w:rPr>
              <w:t>E</w:t>
            </w:r>
            <w:r w:rsidRPr="00644E2A">
              <w:rPr>
                <w:rFonts w:ascii="Arial" w:hAnsi="Arial" w:cs="Arial"/>
                <w:sz w:val="16"/>
                <w:szCs w:val="16"/>
              </w:rPr>
              <w:t xml:space="preserve">DA,IDENTIFICACION DESCRIPCION E INFORME DE SITIOS WEB SOBRE TEMAS DE </w:t>
            </w:r>
            <w:r w:rsidRPr="00644E2A">
              <w:rPr>
                <w:rFonts w:ascii="Arial" w:hAnsi="Arial" w:cs="Arial"/>
                <w:sz w:val="16"/>
                <w:szCs w:val="16"/>
              </w:rPr>
              <w:lastRenderedPageBreak/>
              <w:t>INTERES PARA LA E</w:t>
            </w:r>
            <w:r w:rsidRPr="00644E2A">
              <w:rPr>
                <w:rFonts w:ascii="Arial" w:hAnsi="Arial" w:cs="Arial"/>
                <w:sz w:val="16"/>
                <w:szCs w:val="16"/>
              </w:rPr>
              <w:t>S</w:t>
            </w:r>
            <w:r w:rsidRPr="00644E2A">
              <w:rPr>
                <w:rFonts w:ascii="Arial" w:hAnsi="Arial" w:cs="Arial"/>
                <w:sz w:val="16"/>
                <w:szCs w:val="16"/>
              </w:rPr>
              <w:t>PECIALIDAD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lastRenderedPageBreak/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pto/informe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lastRenderedPageBreak/>
              <w:t>C.1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AYUDANTIA DE CURSOS AD-HONOREN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pto/semestre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AYUDANTIA DE CURSOS CONTR</w:t>
            </w:r>
            <w:r w:rsidRPr="00644E2A">
              <w:rPr>
                <w:rFonts w:ascii="Arial" w:hAnsi="Arial" w:cs="Arial"/>
                <w:sz w:val="16"/>
                <w:szCs w:val="16"/>
              </w:rPr>
              <w:t>A</w:t>
            </w:r>
            <w:r w:rsidRPr="00644E2A">
              <w:rPr>
                <w:rFonts w:ascii="Arial" w:hAnsi="Arial" w:cs="Arial"/>
                <w:sz w:val="16"/>
                <w:szCs w:val="16"/>
              </w:rPr>
              <w:t>TADOS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pto/semestre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SEMINARIOS DE PROBLEMAS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pto/semestre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JORNADA DE ORIENTACION PR</w:t>
            </w:r>
            <w:r w:rsidRPr="00644E2A">
              <w:rPr>
                <w:rFonts w:ascii="Arial" w:hAnsi="Arial" w:cs="Arial"/>
                <w:sz w:val="16"/>
                <w:szCs w:val="16"/>
              </w:rPr>
              <w:t>O</w:t>
            </w:r>
            <w:r w:rsidRPr="00644E2A">
              <w:rPr>
                <w:rFonts w:ascii="Arial" w:hAnsi="Arial" w:cs="Arial"/>
                <w:sz w:val="16"/>
                <w:szCs w:val="16"/>
              </w:rPr>
              <w:t>FESIONAL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pto/jornada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DOCENCIA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PROFESOR DE CURSO DE EXTE</w:t>
            </w:r>
            <w:r w:rsidRPr="00644E2A">
              <w:rPr>
                <w:rFonts w:ascii="Arial" w:hAnsi="Arial" w:cs="Arial"/>
                <w:sz w:val="16"/>
                <w:szCs w:val="16"/>
              </w:rPr>
              <w:t>N</w:t>
            </w:r>
            <w:r w:rsidRPr="00644E2A">
              <w:rPr>
                <w:rFonts w:ascii="Arial" w:hAnsi="Arial" w:cs="Arial"/>
                <w:sz w:val="16"/>
                <w:szCs w:val="16"/>
              </w:rPr>
              <w:t>SION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pto/semestre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PROYECCIO SOCIAL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PARTICIPACION DE JORNADAS CIVICAS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pto/jornada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PROYECCIO SOCIAL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 xml:space="preserve">BRIGADISTA EN ZONA DE DESATREO O EMERGENCIA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pto/jornada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PROYECCIO SOCIAL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ACCIONES DE CAPACITACION Y ASISTENCIA TECNICA A EMPRESAS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1.50 pto/proyecto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PROYECCIO SOCIAL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COLABORAR EN EL MEJORAMIE</w:t>
            </w:r>
            <w:r w:rsidRPr="00644E2A">
              <w:rPr>
                <w:rFonts w:ascii="Arial" w:hAnsi="Arial" w:cs="Arial"/>
                <w:sz w:val="16"/>
                <w:szCs w:val="16"/>
              </w:rPr>
              <w:t>N</w:t>
            </w:r>
            <w:r w:rsidRPr="00644E2A">
              <w:rPr>
                <w:rFonts w:ascii="Arial" w:hAnsi="Arial" w:cs="Arial"/>
                <w:sz w:val="16"/>
                <w:szCs w:val="16"/>
              </w:rPr>
              <w:t>TO DEL NIVEL DE INGRESOS Y CALIDAD DE VIDA DE COMUNIDAD URBANO-MARGINAL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pto/proy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D.5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PROYECCIO SOCIAL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ACTIVIDADES ENCOMENDADAS POR LA FACULTAD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INTRA-FACULTAD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INTER-FACULTADES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INTER-UNIVERSITARIOS(INTERNACIONAL)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INTRA-FACULTAD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0.25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INTER-FACULTADES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0.50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INTER-UNIVERSITARIOS(INTERNACIONAL)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4.00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4.00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INTRA-FACULTAD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GANADOR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INTER-FACULTADES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GANADOR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GANADOR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3.00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INTER-UNIVERSITARIOS(INTERNACIONAL)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GANADOR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4.00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EVENTOS CULT. Y DEPT.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GANADOR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5.00 pto/act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F.1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VISITAS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 EMPRESAS EN LIMA CON INFO</w:t>
            </w:r>
            <w:r w:rsidRPr="00644E2A">
              <w:rPr>
                <w:rFonts w:ascii="Arial" w:hAnsi="Arial" w:cs="Arial"/>
                <w:sz w:val="16"/>
                <w:szCs w:val="16"/>
              </w:rPr>
              <w:t>R</w:t>
            </w:r>
            <w:r w:rsidRPr="00644E2A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1.00 pto/visita</w:t>
            </w:r>
          </w:p>
        </w:tc>
      </w:tr>
      <w:tr w:rsidR="007B60CF" w:rsidRPr="00644E2A" w:rsidTr="00DB604C">
        <w:trPr>
          <w:trHeight w:val="1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F.2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VISITAS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 EMPRESAS DE PROVINCIAS CON INFORME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ASISTENTE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B60CF" w:rsidRPr="00644E2A" w:rsidRDefault="007B60CF" w:rsidP="00DB604C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644E2A">
              <w:rPr>
                <w:rFonts w:ascii="Arial" w:hAnsi="Arial" w:cs="Arial"/>
                <w:sz w:val="16"/>
                <w:szCs w:val="16"/>
              </w:rPr>
              <w:t>2.00 pto/visita</w:t>
            </w:r>
          </w:p>
        </w:tc>
      </w:tr>
    </w:tbl>
    <w:p w:rsidR="007B60CF" w:rsidRPr="00644E2A" w:rsidRDefault="007B60CF" w:rsidP="007B60CF">
      <w:pPr>
        <w:pStyle w:val="Encabezad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B60CF" w:rsidRPr="00644E2A" w:rsidRDefault="007B60CF" w:rsidP="007B60CF">
      <w:pPr>
        <w:pStyle w:val="Encabezado"/>
        <w:numPr>
          <w:ilvl w:val="1"/>
          <w:numId w:val="2"/>
        </w:numPr>
        <w:tabs>
          <w:tab w:val="clear" w:pos="1800"/>
          <w:tab w:val="clear" w:pos="4419"/>
          <w:tab w:val="clear" w:pos="8838"/>
          <w:tab w:val="num" w:pos="360"/>
        </w:tabs>
        <w:ind w:left="36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PROCEDIMIENTOS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Las actividades no cognoscitivas que </w:t>
      </w:r>
      <w:smartTag w:uri="urn:schemas-microsoft-com:office:smarttags" w:element="PersonName">
        <w:smartTagPr>
          <w:attr w:name="ProductID" w:val="la Facultad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Facultad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reconocerá pueden ser: Programadas, No programadas o extraordinarias y/o realizadas por interés personal.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Programa de Actividades No Cognoscitivas.</w:t>
      </w:r>
    </w:p>
    <w:p w:rsidR="007B60CF" w:rsidRPr="00644E2A" w:rsidRDefault="007B60CF" w:rsidP="007B60CF">
      <w:pPr>
        <w:pStyle w:val="Encabezad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Al inicio de cada Semestre Académico, las diferentes unidades de </w:t>
      </w:r>
      <w:smartTag w:uri="urn:schemas-microsoft-com:office:smarttags" w:element="PersonName">
        <w:smartTagPr>
          <w:attr w:name="ProductID" w:val="la Facultad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Facultad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remitirán a </w:t>
      </w:r>
      <w:smartTag w:uri="urn:schemas-microsoft-com:office:smarttags" w:element="PersonName">
        <w:smartTagPr>
          <w:attr w:name="ProductID" w:val="la Direcci￳n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 xml:space="preserve">la </w:t>
        </w:r>
        <w:r w:rsidRPr="0039497A">
          <w:rPr>
            <w:rFonts w:ascii="Arial" w:hAnsi="Arial" w:cs="Arial"/>
            <w:bCs/>
            <w:i/>
            <w:iCs/>
            <w:color w:val="C00000"/>
            <w:sz w:val="16"/>
            <w:szCs w:val="16"/>
          </w:rPr>
          <w:t>Dirección</w:t>
        </w:r>
      </w:smartTag>
      <w:r w:rsidRPr="0039497A">
        <w:rPr>
          <w:rFonts w:ascii="Arial" w:hAnsi="Arial" w:cs="Arial"/>
          <w:bCs/>
          <w:i/>
          <w:iCs/>
          <w:color w:val="C00000"/>
          <w:sz w:val="16"/>
          <w:szCs w:val="16"/>
        </w:rPr>
        <w:t xml:space="preserve">  Académica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la programación de las actividades no cognoscitivas que ofrecerán, las cantidades de alumnos y los requisitos para su sele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c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ción.</w:t>
      </w:r>
    </w:p>
    <w:p w:rsidR="007B60CF" w:rsidRPr="00644E2A" w:rsidRDefault="007B60CF" w:rsidP="007B60CF">
      <w:pPr>
        <w:pStyle w:val="Encabezad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lastRenderedPageBreak/>
        <w:t>El Plan General de Actividades No Cognoscitivas será publicado para conocimiento y consideración de los alumnos.</w:t>
      </w:r>
    </w:p>
    <w:p w:rsidR="007B60CF" w:rsidRPr="00644E2A" w:rsidRDefault="007B60CF" w:rsidP="007B60CF">
      <w:pPr>
        <w:pStyle w:val="Encabezad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Las unidades correspondientes seleccionarán a los alumnos de acuerdo a sus requerimientos, extendiéndolos a los seleccionados una ficha de inscripción con el que formalizarán su reconocimiento de puntaje.</w:t>
      </w:r>
    </w:p>
    <w:p w:rsidR="007B60CF" w:rsidRPr="00644E2A" w:rsidRDefault="007B60CF" w:rsidP="007B60CF">
      <w:pPr>
        <w:pStyle w:val="Encabezad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Las unidades responsables emitirán actas con la relación de alumnos y puntos obtenidos, para reconocimiento y a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r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chivo en </w:t>
      </w:r>
      <w:smartTag w:uri="urn:schemas-microsoft-com:office:smarttags" w:element="PersonName">
        <w:smartTagPr>
          <w:attr w:name="ProductID" w:val="la Direcci￳n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Dirección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de Asuntos Académicos. 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smartTag w:uri="urn:schemas-microsoft-com:office:smarttags" w:element="PersonName">
        <w:smartTagPr>
          <w:attr w:name="ProductID" w:val="la Direcci￳n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Dirección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de Asuntos Académicos, por intermedio de </w:t>
      </w:r>
      <w:smartTag w:uri="urn:schemas-microsoft-com:office:smarttags" w:element="PersonName">
        <w:smartTagPr>
          <w:attr w:name="ProductID" w:val="la Comisi￳n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Comisión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de Grados y Títulos y Convalidaciones, evaluará las cert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i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ficaciones.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Al final de cada semestre y según fechas programadas los alumnos podrán solicitar una calificación de los puntos acumulados. Las Constancias de calificación tendrán un costo según la tarifa de </w:t>
      </w:r>
      <w:smartTag w:uri="urn:schemas-microsoft-com:office:smarttags" w:element="PersonName">
        <w:smartTagPr>
          <w:attr w:name="ProductID" w:val="la Universidad.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Universidad.</w:t>
        </w:r>
      </w:smartTag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ind w:left="360" w:hanging="2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Las actividades no cognoscitivas que no se encuentren consideradas en el presente reglamento, serán evaluados por </w:t>
      </w:r>
      <w:smartTag w:uri="urn:schemas-microsoft-com:office:smarttags" w:element="PersonName">
        <w:smartTagPr>
          <w:attr w:name="ProductID" w:val="la Direcci￳n"/>
        </w:smartTagP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la Dire</w:t>
        </w: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c</w:t>
        </w:r>
        <w:r w:rsidRPr="00644E2A">
          <w:rPr>
            <w:rFonts w:ascii="Arial" w:hAnsi="Arial" w:cs="Arial"/>
            <w:bCs/>
            <w:i/>
            <w:iCs/>
            <w:sz w:val="16"/>
            <w:szCs w:val="16"/>
          </w:rPr>
          <w:t>ción</w:t>
        </w:r>
      </w:smartTag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 de Escuela y su Comité Asesor, para su inclusión.</w:t>
      </w:r>
    </w:p>
    <w:p w:rsidR="007B60CF" w:rsidRPr="00644E2A" w:rsidRDefault="007B60CF" w:rsidP="007B60CF">
      <w:pPr>
        <w:pStyle w:val="Encabezado"/>
        <w:numPr>
          <w:ilvl w:val="1"/>
          <w:numId w:val="2"/>
        </w:numPr>
        <w:tabs>
          <w:tab w:val="clear" w:pos="1800"/>
          <w:tab w:val="clear" w:pos="4419"/>
          <w:tab w:val="clear" w:pos="8838"/>
          <w:tab w:val="num" w:pos="360"/>
        </w:tabs>
        <w:ind w:left="360" w:hanging="360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DISPOSICIONES TRANSITORIAS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En el caso de que el recurrente,  sea ingresante anterior a 1996 y no cuente con las constancias correspondientes podrán pr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e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sentar Declaraciones Juradas Simples refrendadas por los responsables de las unidades correspondientes.</w:t>
      </w:r>
    </w:p>
    <w:p w:rsidR="007B60CF" w:rsidRPr="00644E2A" w:rsidRDefault="007B60CF" w:rsidP="007B60C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644E2A">
        <w:rPr>
          <w:rFonts w:ascii="Arial" w:hAnsi="Arial" w:cs="Arial"/>
          <w:bCs/>
          <w:i/>
          <w:iCs/>
          <w:sz w:val="16"/>
          <w:szCs w:val="16"/>
        </w:rPr>
        <w:t>Para los ingresantes hasta el año 1995, se reconoce por excepción, como Puntos en Actividades  No Cognoscitivas- Área Académica, los puntos acumulados en cursos que no tienen equivalentes en el Plan de Estudios 1999 y que no fueron recon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>o</w:t>
      </w:r>
      <w:r w:rsidRPr="00644E2A">
        <w:rPr>
          <w:rFonts w:ascii="Arial" w:hAnsi="Arial" w:cs="Arial"/>
          <w:bCs/>
          <w:i/>
          <w:iCs/>
          <w:sz w:val="16"/>
          <w:szCs w:val="16"/>
        </w:rPr>
        <w:t xml:space="preserve">cidos por cursos de dicho Plan de Estudios..   </w:t>
      </w:r>
    </w:p>
    <w:p w:rsidR="0095115C" w:rsidRPr="007B60CF" w:rsidRDefault="0095115C">
      <w:pPr>
        <w:rPr>
          <w:lang w:val="es-ES"/>
        </w:rPr>
      </w:pPr>
      <w:bookmarkStart w:id="0" w:name="_GoBack"/>
      <w:bookmarkEnd w:id="0"/>
    </w:p>
    <w:sectPr w:rsidR="0095115C" w:rsidRPr="007B6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C2E"/>
    <w:multiLevelType w:val="hybridMultilevel"/>
    <w:tmpl w:val="B20AD0D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C26D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F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1448"/>
    <w:multiLevelType w:val="multilevel"/>
    <w:tmpl w:val="3A92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>
    <w:nsid w:val="36E07E71"/>
    <w:multiLevelType w:val="multilevel"/>
    <w:tmpl w:val="07AC8B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3">
    <w:nsid w:val="54DA0155"/>
    <w:multiLevelType w:val="hybridMultilevel"/>
    <w:tmpl w:val="C992A2D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83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60CCC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F"/>
    <w:rsid w:val="007B60CF"/>
    <w:rsid w:val="009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7B6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60C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xl27">
    <w:name w:val="xl27"/>
    <w:basedOn w:val="Normal"/>
    <w:rsid w:val="007B60CF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7B60CF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7B60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7B6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60C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xl27">
    <w:name w:val="xl27"/>
    <w:basedOn w:val="Normal"/>
    <w:rsid w:val="007B60CF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7B60CF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7B60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JANET VASQUEZ ORIHUELA</dc:creator>
  <cp:lastModifiedBy>MÓNICA JANET VASQUEZ ORIHUELA</cp:lastModifiedBy>
  <cp:revision>1</cp:revision>
  <dcterms:created xsi:type="dcterms:W3CDTF">2018-03-06T20:16:00Z</dcterms:created>
  <dcterms:modified xsi:type="dcterms:W3CDTF">2018-03-06T20:16:00Z</dcterms:modified>
</cp:coreProperties>
</file>